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29.11.2019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735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Общество с ограниченной ответственностью «Стройинвест»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Общество с ограниченной ответственностью «Стройинвест»; ООО «Стройинвест»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5917235242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1025901888022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617470, Россия, Пермский край , г.Кунгур, ул.Пугачева, д.48 - 63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13.10.2009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13.10.2009, протокол Общего собрания № 32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29.12.2009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